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4F" w:rsidRPr="00B17D4F" w:rsidRDefault="00B17D4F" w:rsidP="00BB72BC">
      <w:pPr>
        <w:pStyle w:val="Default"/>
        <w:jc w:val="center"/>
        <w:rPr>
          <w:sz w:val="28"/>
          <w:szCs w:val="28"/>
        </w:rPr>
      </w:pPr>
      <w:bookmarkStart w:id="0" w:name="_GoBack"/>
      <w:bookmarkEnd w:id="0"/>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b/>
          <w:sz w:val="40"/>
          <w:szCs w:val="40"/>
        </w:rPr>
      </w:pPr>
    </w:p>
    <w:p w:rsidR="007074F5" w:rsidRDefault="007074F5"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w:t>
      </w:r>
      <w:r w:rsidRPr="002E4BD9">
        <w:rPr>
          <w:rFonts w:ascii="Times New Roman" w:hAnsi="Times New Roman"/>
          <w:color w:val="252525"/>
          <w:sz w:val="28"/>
          <w:szCs w:val="28"/>
        </w:rPr>
        <w:lastRenderedPageBreak/>
        <w:t xml:space="preserve">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lastRenderedPageBreak/>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firstRow="1" w:lastRow="0" w:firstColumn="1" w:lastColumn="0" w:noHBand="0" w:noVBand="1"/>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firstRow="1" w:lastRow="0" w:firstColumn="1" w:lastColumn="0" w:noHBand="0" w:noVBand="1"/>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возвращается сдавшему его лицу по акту приема-передачи (за исключением лиц, замещающих гос.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firstRow="1" w:lastRow="0" w:firstColumn="1" w:lastColumn="0" w:noHBand="0" w:noVBand="1"/>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w:t>
      </w:r>
      <w:r w:rsidRPr="002E4BD9">
        <w:rPr>
          <w:rFonts w:ascii="Times New Roman" w:hAnsi="Times New Roman"/>
          <w:color w:val="252525"/>
          <w:sz w:val="28"/>
          <w:szCs w:val="28"/>
        </w:rPr>
        <w:lastRenderedPageBreak/>
        <w:t xml:space="preserve">лицами, замещающими государственные должности Российской Федерации» и 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BC"/>
    <w:rsid w:val="00144D00"/>
    <w:rsid w:val="002D4C61"/>
    <w:rsid w:val="002E4BD9"/>
    <w:rsid w:val="003462EE"/>
    <w:rsid w:val="003E0193"/>
    <w:rsid w:val="00416B1F"/>
    <w:rsid w:val="0043378D"/>
    <w:rsid w:val="005755AF"/>
    <w:rsid w:val="005915A4"/>
    <w:rsid w:val="005F4267"/>
    <w:rsid w:val="006425BA"/>
    <w:rsid w:val="007074F5"/>
    <w:rsid w:val="007474DE"/>
    <w:rsid w:val="007655ED"/>
    <w:rsid w:val="007E6000"/>
    <w:rsid w:val="007F6845"/>
    <w:rsid w:val="008C32D4"/>
    <w:rsid w:val="008C7472"/>
    <w:rsid w:val="008D7383"/>
    <w:rsid w:val="00915846"/>
    <w:rsid w:val="00966D34"/>
    <w:rsid w:val="009A44E2"/>
    <w:rsid w:val="00A37FEA"/>
    <w:rsid w:val="00A87BCE"/>
    <w:rsid w:val="00B17D4F"/>
    <w:rsid w:val="00B67241"/>
    <w:rsid w:val="00BB72BC"/>
    <w:rsid w:val="00BD2D7D"/>
    <w:rsid w:val="00C05AB6"/>
    <w:rsid w:val="00C30E44"/>
    <w:rsid w:val="00C55D07"/>
    <w:rsid w:val="00C94FAF"/>
    <w:rsid w:val="00E44346"/>
    <w:rsid w:val="00EE65CD"/>
    <w:rsid w:val="00EE68F9"/>
    <w:rsid w:val="00F30BA9"/>
    <w:rsid w:val="00FB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2024-03-21T11:44:00Z</dcterms:created>
  <dcterms:modified xsi:type="dcterms:W3CDTF">2024-03-21T11:44:00Z</dcterms:modified>
</cp:coreProperties>
</file>